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/>
        <w:jc w:val="center"/>
        <w:rPr>
          <w:rFonts w:ascii="Arial" w:hAnsi="Arial" w:eastAsia="Arial" w:cs="Arial"/>
          <w:b/>
          <w:b/>
          <w:color w:val="D6005E"/>
          <w:sz w:val="28"/>
          <w:szCs w:val="28"/>
        </w:rPr>
      </w:pPr>
      <w:r>
        <w:rPr>
          <w:rFonts w:eastAsia="Arial" w:cs="Arial" w:ascii="Arial" w:hAnsi="Arial"/>
          <w:b/>
          <w:color w:val="D6005E"/>
          <w:sz w:val="28"/>
          <w:szCs w:val="28"/>
        </w:rPr>
        <w:t xml:space="preserve"> </w:t>
      </w:r>
      <w:r>
        <w:rPr>
          <w:rFonts w:eastAsia="Arial" w:cs="Arial" w:ascii="Arial" w:hAnsi="Arial"/>
          <w:b/>
          <w:color w:val="D6005E"/>
          <w:sz w:val="28"/>
          <w:szCs w:val="28"/>
        </w:rPr>
        <w:t xml:space="preserve">Fiche </w:t>
      </w:r>
      <w:r>
        <w:rPr>
          <w:rFonts w:eastAsia="Arial" w:cs="Arial" w:ascii="Arial" w:hAnsi="Arial"/>
          <w:b/>
          <w:color w:val="D6005E"/>
          <w:sz w:val="28"/>
          <w:szCs w:val="28"/>
        </w:rPr>
        <w:t>enseignant</w:t>
      </w:r>
    </w:p>
    <w:p>
      <w:pPr>
        <w:pStyle w:val="LOnormal"/>
        <w:spacing w:lineRule="auto" w:line="276"/>
        <w:jc w:val="center"/>
        <w:rPr>
          <w:rFonts w:ascii="Arial" w:hAnsi="Arial" w:eastAsia="Arial" w:cs="Arial"/>
          <w:b/>
          <w:b/>
          <w:color w:val="D6005E"/>
          <w:sz w:val="28"/>
          <w:szCs w:val="28"/>
        </w:rPr>
      </w:pPr>
      <w:r>
        <w:rPr>
          <w:rFonts w:eastAsia="Arial" w:cs="Arial" w:ascii="Arial" w:hAnsi="Arial"/>
          <w:b/>
          <w:color w:val="D6005E"/>
          <w:sz w:val="28"/>
          <w:szCs w:val="28"/>
        </w:rPr>
        <w:t xml:space="preserve">guide de séance – L’alimentation : comment nourrir une humanité en croissance démographique et aux besoins alimentaires accrus ? </w:t>
      </w:r>
    </w:p>
    <w:p>
      <w:pPr>
        <w:pStyle w:val="Normal"/>
        <w:pBdr>
          <w:bottom w:val="single" w:sz="6" w:space="1" w:color="000000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:after="160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FFC000"/>
        </w:rPr>
        <w:t>N</w:t>
      </w:r>
      <w:r>
        <w:rPr>
          <w:rFonts w:eastAsia="Arial" w:cs="Arial" w:ascii="Arial" w:hAnsi="Arial"/>
          <w:b/>
          <w:color w:val="000000"/>
        </w:rPr>
        <w:t xml:space="preserve">om(s) de(s) l’enseignant.e(s) : </w:t>
      </w:r>
      <w:r>
        <w:rPr>
          <w:rFonts w:eastAsia="Arial" w:cs="Arial" w:ascii="Arial" w:hAnsi="Arial"/>
          <w:color w:val="000000"/>
        </w:rPr>
        <w:t>Diane Rives et Marie Bigorne</w:t>
      </w:r>
    </w:p>
    <w:p>
      <w:pPr>
        <w:pStyle w:val="LOnormal"/>
        <w:spacing w:before="0" w:after="160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13A538"/>
        </w:rPr>
        <w:t>C</w:t>
      </w:r>
      <w:r>
        <w:rPr>
          <w:rFonts w:eastAsia="Arial" w:cs="Arial" w:ascii="Arial" w:hAnsi="Arial"/>
          <w:b/>
          <w:color w:val="000000"/>
        </w:rPr>
        <w:t>ollège-Ville :</w:t>
      </w:r>
      <w:r>
        <w:rPr>
          <w:rFonts w:eastAsia="Arial" w:cs="Arial" w:ascii="Arial" w:hAnsi="Arial"/>
          <w:color w:val="000000"/>
        </w:rPr>
        <w:t xml:space="preserve"> Collège Paul Claudel, Lagnieu</w:t>
      </w:r>
      <w:r>
        <w:rPr>
          <w:rFonts w:eastAsia="Arial" w:cs="Arial" w:ascii="Arial" w:hAnsi="Arial"/>
          <w:b/>
          <w:color w:val="000000"/>
        </w:rPr>
        <w:tab/>
        <w:tab/>
      </w:r>
    </w:p>
    <w:p>
      <w:pPr>
        <w:pStyle w:val="LOnormal"/>
        <w:spacing w:before="0" w:after="160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D6005E"/>
        </w:rPr>
        <w:t>D</w:t>
      </w:r>
      <w:r>
        <w:rPr>
          <w:rFonts w:eastAsia="Arial" w:cs="Arial" w:ascii="Arial" w:hAnsi="Arial"/>
          <w:b/>
          <w:color w:val="000000"/>
        </w:rPr>
        <w:t>ate/</w:t>
      </w:r>
      <w:r>
        <w:rPr>
          <w:rFonts w:eastAsia="Arial" w:cs="Arial" w:ascii="Arial" w:hAnsi="Arial"/>
          <w:b/>
          <w:color w:val="D6005E"/>
        </w:rPr>
        <w:t>A</w:t>
      </w:r>
      <w:r>
        <w:rPr>
          <w:rFonts w:eastAsia="Arial" w:cs="Arial" w:ascii="Arial" w:hAnsi="Arial"/>
          <w:b/>
          <w:color w:val="000000"/>
        </w:rPr>
        <w:t xml:space="preserve">nnée : </w:t>
      </w:r>
      <w:r>
        <w:rPr>
          <w:rFonts w:eastAsia="Arial" w:cs="Arial" w:ascii="Arial" w:hAnsi="Arial"/>
          <w:color w:val="000000"/>
        </w:rPr>
        <w:t>2022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  <w:highlight w:val="yellow"/>
        </w:rPr>
        <w:t>Séance 1</w:t>
      </w:r>
      <w:r>
        <w:rPr/>
        <w:t> : Introduction du chapitre / questionnement sur la manière de se nourrir, la manière de produire</w:t>
      </w:r>
    </w:p>
    <w:p>
      <w:pPr>
        <w:pStyle w:val="Normal"/>
        <w:ind w:left="720" w:hanging="0"/>
        <w:rPr/>
      </w:pPr>
      <w:r>
        <w:rPr/>
        <w:t xml:space="preserve">Il aura été préalablement demandé aux élèves d’amener avec eux un emballage d’un produit de leur choix qu’ils affectionnent, ou un produit pour deux. 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/>
        <w:t xml:space="preserve">Analyse de l’emballage du produit en remplissant la carte mentale (Fiche 1 – Intro) – </w:t>
      </w:r>
      <w:r>
        <w:rPr>
          <w:b/>
          <w:bCs/>
        </w:rPr>
        <w:t>15 min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/>
        <w:t xml:space="preserve">Mise en commun à l’oral et au tableau et prise en note des différents points communs et différences entre les différents produits. Les élèves retiennent : </w:t>
      </w:r>
      <w:r>
        <w:rPr>
          <w:b/>
          <w:bCs/>
        </w:rPr>
        <w:t xml:space="preserve">– 20 min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Qu’il est difficile de connaitre la composition exacte des produits choisis ;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Que les produits industriels impliquent généralement plusieurs pays ;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Qu’un produit alimentaire ne signifie pas un produit agricole : dans les produits transformés, il y a une part importante de composants annexes (colorants, conservateurs, etc…) ;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Que la confection d’un produit alimentaire implique donc différents acteurs (agriculteur, industrie, chimie alimentaire, transport,…) et a un impact humain et environnemental ; </w:t>
      </w:r>
    </w:p>
    <w:p>
      <w:pPr>
        <w:pStyle w:val="ListParagraph"/>
        <w:numPr>
          <w:ilvl w:val="0"/>
          <w:numId w:val="2"/>
        </w:numPr>
        <w:rPr/>
      </w:pPr>
      <w:r>
        <w:rPr/>
        <w:t>Explications sur les objectifs</w:t>
      </w:r>
      <w:bookmarkStart w:id="0" w:name="_GoBack"/>
      <w:bookmarkEnd w:id="0"/>
      <w:r>
        <w:rPr/>
        <w:t xml:space="preserve"> du chapitre, rédaction de l’introduction et de la problématique – </w:t>
      </w:r>
      <w:r>
        <w:rPr>
          <w:b/>
          <w:bCs/>
        </w:rPr>
        <w:t>15 min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ind w:left="709" w:hanging="360"/>
        <w:rPr/>
      </w:pPr>
      <w:r>
        <w:rPr>
          <w:b/>
          <w:bCs/>
          <w:highlight w:val="yellow"/>
        </w:rPr>
        <w:t>Séance 2</w:t>
      </w:r>
      <w:r>
        <w:rPr>
          <w:b/>
          <w:bCs/>
        </w:rPr>
        <w:t xml:space="preserve">  : </w:t>
      </w:r>
      <w:r>
        <w:rPr/>
        <w:t>travail à partir de cartes sur les inégalités face à l’accès à l’alimentation dans le monde –</w:t>
      </w:r>
      <w:r>
        <w:rPr>
          <w:b/>
          <w:bCs/>
        </w:rPr>
        <w:t xml:space="preserve"> 1h</w:t>
      </w:r>
    </w:p>
    <w:p>
      <w:pPr>
        <w:pStyle w:val="ListParagraph"/>
        <w:rPr/>
      </w:pPr>
      <w:r>
        <w:rPr/>
      </w:r>
    </w:p>
    <w:p>
      <w:pPr>
        <w:pStyle w:val="ListParagraph"/>
        <w:ind w:left="709" w:hanging="0"/>
        <w:rPr/>
      </w:pPr>
      <w:r>
        <w:rPr/>
      </w:r>
    </w:p>
    <w:p>
      <w:pPr>
        <w:pStyle w:val="ListParagraph"/>
        <w:numPr>
          <w:ilvl w:val="0"/>
          <w:numId w:val="2"/>
        </w:numPr>
        <w:ind w:left="709" w:hanging="360"/>
        <w:rPr/>
      </w:pPr>
      <w:r>
        <w:rPr>
          <w:b/>
          <w:bCs/>
          <w:highlight w:val="yellow"/>
        </w:rPr>
        <w:t>Séances 3 et 4</w:t>
      </w:r>
      <w:r>
        <w:rPr/>
        <w:t> : Travail sur les différents modes de production agricoles à travers le monde et leurs impacts environnementaux à l’aide d’une comparaison entre les campagnes allemandes et maliennes –</w:t>
      </w:r>
      <w:r>
        <w:rPr>
          <w:b/>
          <w:bCs/>
        </w:rPr>
        <w:t xml:space="preserve"> 2h</w:t>
      </w:r>
    </w:p>
    <w:p>
      <w:pPr>
        <w:pStyle w:val="ListParagraph"/>
        <w:ind w:left="709" w:hanging="0"/>
        <w:rPr/>
      </w:pPr>
      <w:r>
        <w:rPr/>
      </w:r>
    </w:p>
    <w:p>
      <w:pPr>
        <w:pStyle w:val="ListParagraph"/>
        <w:numPr>
          <w:ilvl w:val="0"/>
          <w:numId w:val="2"/>
        </w:numPr>
        <w:ind w:left="709" w:hanging="360"/>
        <w:rPr/>
      </w:pPr>
      <w:r>
        <w:rPr>
          <w:b/>
          <w:bCs/>
          <w:highlight w:val="yellow"/>
        </w:rPr>
        <w:t>Séances 5 et 6</w:t>
      </w:r>
      <w:r>
        <w:rPr>
          <w:b/>
          <w:bCs/>
        </w:rPr>
        <w:t xml:space="preserve"> : </w:t>
      </w:r>
    </w:p>
    <w:p>
      <w:pPr>
        <w:pStyle w:val="ListParagraph"/>
        <w:ind w:left="709" w:hanging="0"/>
        <w:rPr>
          <w:b/>
          <w:b/>
          <w:bCs/>
        </w:rPr>
      </w:pPr>
      <w:r>
        <w:rPr>
          <w:b/>
          <w:bCs/>
        </w:rPr>
        <w:t xml:space="preserve">Séance Marguerite : </w:t>
      </w:r>
      <w:r>
        <w:rPr/>
        <w:t>Produire et consommer des légumineuses : quels atouts sociaux et environnementaux ? Le cas de la région AURA</w:t>
      </w:r>
      <w:r>
        <w:rPr>
          <w:b/>
          <w:bCs/>
        </w:rPr>
        <w:t xml:space="preserve"> – 2h30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Travail de groupe, 1h15 en salle informatique ou avec des tablettes pour l’analyse de documents – Fiche 3 – EDC légumineuses AURA + documents sur le lien suivant : </w:t>
      </w:r>
      <w:hyperlink r:id="rId2">
        <w:r>
          <w:rPr>
            <w:rStyle w:val="LienInternet"/>
          </w:rPr>
          <w:t>https://padlet.com/diane_rives/u0hsjlbgl6l1bxbl</w:t>
        </w:r>
      </w:hyperlink>
      <w:r>
        <w:rPr/>
        <w:t xml:space="preserve"> </w:t>
      </w:r>
    </w:p>
    <w:p>
      <w:pPr>
        <w:pStyle w:val="ListParagraph"/>
        <w:numPr>
          <w:ilvl w:val="0"/>
          <w:numId w:val="3"/>
        </w:numPr>
        <w:rPr/>
      </w:pPr>
      <w:r>
        <w:rPr/>
        <w:t>10 min de reprise avec toute la classe pour voir si les grandes lignes de l’étude de doc ont bien été saisies par les élèves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/>
      </w:pPr>
      <w:r>
        <w:rPr/>
        <w:t>1h pour la création des affiches (possibilité de finir en autonomie en travail de groupe sur les heures d’étude, ou de programmer une séance de plus en classe pour finir).</w:t>
      </w:r>
    </w:p>
    <w:sectPr>
      <w:headerReference w:type="default" r:id="rId3"/>
      <w:type w:val="nextPage"/>
      <w:pgSz w:w="11906" w:h="16838"/>
      <w:pgMar w:left="1417" w:right="1417" w:header="708" w:top="765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before="114" w:after="114"/>
      <w:ind w:right="-454" w:hanging="0"/>
      <w:jc w:val="right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7" wp14:anchorId="1AADDE0C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6405" cy="415925"/>
              <wp:effectExtent l="0" t="0" r="0" b="0"/>
              <wp:wrapNone/>
              <wp:docPr id="1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760" cy="41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stroked="f" style="position:absolute;margin-left:373pt;margin-top:-4pt;width:135.05pt;height:32.65pt;mso-wrap-style:none;v-text-anchor:middle" wp14:anchorId="1AADDE0C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06BD1F8A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6405" cy="618490"/>
              <wp:effectExtent l="0" t="0" r="0" b="0"/>
              <wp:wrapNone/>
              <wp:docPr id="2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760" cy="61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stroked="f" style="position:absolute;margin-left:373pt;margin-top:-4pt;width:135.05pt;height:48.6pt;mso-wrap-style:none;v-text-anchor:middle" wp14:anchorId="06BD1F8A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-525780</wp:posOffset>
          </wp:positionH>
          <wp:positionV relativeFrom="paragraph">
            <wp:posOffset>-723900</wp:posOffset>
          </wp:positionV>
          <wp:extent cx="1957070" cy="1496060"/>
          <wp:effectExtent l="0" t="0" r="0" b="0"/>
          <wp:wrapNone/>
          <wp:docPr id="3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1157" r="18" b="22395"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149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935" distR="114935" simplePos="0" locked="0" layoutInCell="0" allowOverlap="1" relativeHeight="5">
          <wp:simplePos x="0" y="0"/>
          <wp:positionH relativeFrom="column">
            <wp:posOffset>5146040</wp:posOffset>
          </wp:positionH>
          <wp:positionV relativeFrom="paragraph">
            <wp:posOffset>-78740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tte"/>
      <w:rPr/>
    </w:pPr>
    <w:r>
      <w:rPr/>
    </w:r>
  </w:p>
  <w:p>
    <w:pPr>
      <w:pStyle w:val="Entte"/>
      <w:rPr/>
    </w:pPr>
    <w:r>
      <w:rPr/>
    </w:r>
  </w:p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177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7665db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665db"/>
    <w:rPr>
      <w:color w:val="605E5C"/>
      <w:shd w:fill="E1DFDD" w:val="clear"/>
    </w:rPr>
  </w:style>
  <w:style w:type="character" w:styleId="EntteCar" w:customStyle="1">
    <w:name w:val="En-tête Car"/>
    <w:basedOn w:val="DefaultParagraphFont"/>
    <w:link w:val="En-tte"/>
    <w:uiPriority w:val="99"/>
    <w:qFormat/>
    <w:rsid w:val="008e5c4d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8e5c4d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c1ddc"/>
    <w:pPr>
      <w:spacing w:before="0" w:after="160"/>
      <w:ind w:left="720" w:hanging="0"/>
      <w:contextualSpacing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8e5c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8e5c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Onormal" w:customStyle="1">
    <w:name w:val="LO-normal"/>
    <w:qFormat/>
    <w:rsid w:val="008e5c4d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zh-CN" w:bidi="hi-IN" w:val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dlet.com/diane_rives/u0hsjlbgl6l1bxb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LibreOffice/7.0.3.1$Windows_X86_64 LibreOffice_project/d7547858d014d4cf69878db179d326fc3483e082</Application>
  <Pages>2</Pages>
  <Words>385</Words>
  <Characters>1999</Characters>
  <CharactersWithSpaces>2372</CharactersWithSpaces>
  <Paragraphs>21</Paragraphs>
  <Company>ENS de Lyon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2022-07-08T14:26:00Z</dcterms:created>
  <dc:creator>Diane Rives</dc:creator>
  <dc:description/>
  <dc:language>fr-FR</dc:language>
  <cp:lastModifiedBy/>
  <dcterms:modified xsi:type="dcterms:W3CDTF">2022-10-26T17:54:03Z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ENS de Lyon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